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31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5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6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hyperlink r:id="rId6">
              <w:r>
                <w:rPr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sz w:val="24"/>
                  <w:szCs w:val="24"/>
                  <w:u w:val="none"/>
                  <w:effect w:val="none"/>
                </w:rPr>
                <w:t>МЦПА (диметиламинная+калиевая+натриевая соли)</w:t>
              </w:r>
            </w:hyperlink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  <w:r>
              <w:rPr/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Мезотрион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Никосульфурон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Пиклорам, пиклорам (диметилэтаноламинные соли)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hyperlink" Target="https://www.pesticidy.ru/active_substance/MTSP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LibreOffice/7.0.4.2$Windows_X86_64 LibreOffice_project/dcf040e67528d9187c66b2379df5ea4407429775</Application>
  <AppVersion>15.0000</AppVersion>
  <Pages>4</Pages>
  <Words>494</Words>
  <Characters>4676</Characters>
  <CharactersWithSpaces>5158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2024-05-31T15:58:39Z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