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06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1131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10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12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2023-06-06T09:14:32Z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