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запланированные работы по применению пестицидов и агрохимикатов будут проходить 1</w:t>
      </w:r>
      <w:r>
        <w:rPr>
          <w:rFonts w:eastAsia="Times New Roman" w:cs="Times New Roman"/>
          <w:color w:val="auto"/>
          <w:kern w:val="0"/>
          <w:sz w:val="28"/>
          <w:szCs w:val="28"/>
          <w:lang w:val="ru-RU" w:eastAsia="ru-RU" w:bidi="ar-SA"/>
        </w:rPr>
        <w:t>7</w:t>
      </w:r>
      <w:r>
        <w:rPr>
          <w:rFonts w:eastAsia="Times New Roman" w:cs="Times New Roman"/>
          <w:color w:val="auto"/>
          <w:kern w:val="0"/>
          <w:sz w:val="28"/>
          <w:szCs w:val="28"/>
          <w:lang w:val="ru-RU" w:eastAsia="ru-RU" w:bidi="ar-SA"/>
        </w:rPr>
        <w:t xml:space="preserve">.07.21г.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3"/>
        <w:gridCol w:w="2064"/>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hyperlink r:id="rId2">
              <w:r>
                <w:rPr/>
                <w:t>1</w:t>
              </w:r>
            </w:hyperlink>
          </w:p>
        </w:tc>
        <w:tc>
          <w:tcPr>
            <w:tcW w:w="2904" w:type="dxa"/>
            <w:tcBorders>
              <w:left w:val="single" w:sz="2" w:space="0" w:color="000000"/>
              <w:bottom w:val="single" w:sz="2" w:space="0" w:color="000000"/>
            </w:tcBorders>
          </w:tcPr>
          <w:p>
            <w:pPr>
              <w:pStyle w:val="Style15"/>
              <w:widowControl w:val="false"/>
              <w:spacing w:before="0" w:after="120"/>
              <w:rPr>
                <w:color w:val="000000"/>
              </w:rPr>
            </w:pPr>
            <w:r>
              <w:rPr>
                <w:rStyle w:val="Style12"/>
                <w:b/>
                <w:strike w:val="false"/>
                <w:dstrike w:val="false"/>
                <w:color w:val="000000"/>
                <w:sz w:val="24"/>
                <w:szCs w:val="24"/>
                <w:u w:val="single"/>
                <w:effect w:val="none"/>
              </w:rPr>
              <w:t>Клоквинтосет-мексил</w:t>
            </w:r>
          </w:p>
          <w:p>
            <w:pPr>
              <w:pStyle w:val="Style15"/>
              <w:widowControl w:val="false"/>
              <w:rPr>
                <w:color w:val="000000"/>
              </w:rPr>
            </w:pPr>
            <w:r>
              <w:rPr>
                <w:color w:val="000000"/>
              </w:rPr>
              <w:t>34,5 г/л</w:t>
            </w:r>
          </w:p>
          <w:p>
            <w:pPr>
              <w:pStyle w:val="Style15"/>
              <w:widowControl w:val="false"/>
              <w:spacing w:before="60" w:after="75"/>
              <w:ind w:left="0" w:right="0" w:hanging="0"/>
              <w:rPr/>
            </w:pPr>
            <w:r>
              <w:rPr>
                <w:rStyle w:val="Style12"/>
                <w:b/>
                <w:strike w:val="false"/>
                <w:dstrike w:val="false"/>
                <w:color w:val="000000"/>
                <w:u w:val="none"/>
                <w:effect w:val="none"/>
              </w:rPr>
              <w:t>Феноксапроп-П-этил</w:t>
            </w:r>
          </w:p>
          <w:p>
            <w:pPr>
              <w:pStyle w:val="Style15"/>
              <w:widowControl w:val="false"/>
              <w:spacing w:before="0" w:after="120"/>
              <w:rPr>
                <w:color w:val="000000"/>
              </w:rPr>
            </w:pPr>
            <w:r>
              <w:rPr>
                <w:color w:val="000000"/>
              </w:rPr>
              <w:t>69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2</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Дифеноконазол</w:t>
            </w:r>
          </w:p>
          <w:p>
            <w:pPr>
              <w:pStyle w:val="Style15"/>
              <w:widowControl w:val="false"/>
              <w:rPr>
                <w:color w:val="000000"/>
              </w:rPr>
            </w:pPr>
            <w:r>
              <w:rPr>
                <w:color w:val="000000"/>
              </w:rPr>
              <w:t>40 г/л</w:t>
            </w:r>
          </w:p>
          <w:p>
            <w:pPr>
              <w:pStyle w:val="Style15"/>
              <w:widowControl w:val="false"/>
              <w:spacing w:before="60" w:after="75"/>
              <w:ind w:left="0" w:right="0" w:hanging="0"/>
              <w:rPr/>
            </w:pPr>
            <w:r>
              <w:rPr>
                <w:rStyle w:val="Style12"/>
                <w:b/>
                <w:strike w:val="false"/>
                <w:dstrike w:val="false"/>
                <w:color w:val="000000"/>
                <w:u w:val="none"/>
                <w:effect w:val="none"/>
              </w:rPr>
              <w:t>Пираклостробин</w:t>
            </w:r>
          </w:p>
          <w:p>
            <w:pPr>
              <w:pStyle w:val="Style15"/>
              <w:widowControl w:val="false"/>
              <w:rPr>
                <w:color w:val="000000"/>
              </w:rPr>
            </w:pPr>
            <w:r>
              <w:rPr>
                <w:color w:val="000000"/>
              </w:rPr>
              <w:t>80 г/л</w:t>
            </w:r>
          </w:p>
          <w:p>
            <w:pPr>
              <w:pStyle w:val="Style15"/>
              <w:widowControl w:val="false"/>
              <w:spacing w:before="60" w:after="75"/>
              <w:ind w:left="0" w:right="0" w:hanging="0"/>
              <w:rPr/>
            </w:pPr>
            <w:r>
              <w:rPr>
                <w:rStyle w:val="Style12"/>
                <w:b/>
                <w:strike w:val="false"/>
                <w:dstrike w:val="false"/>
                <w:color w:val="000000"/>
                <w:u w:val="none"/>
                <w:effect w:val="none"/>
              </w:rPr>
              <w:t>Тебуконазол</w:t>
            </w:r>
          </w:p>
          <w:p>
            <w:pPr>
              <w:pStyle w:val="Style15"/>
              <w:widowControl w:val="false"/>
              <w:spacing w:before="0" w:after="120"/>
              <w:rPr>
                <w:color w:val="000000"/>
              </w:rPr>
            </w:pPr>
            <w:r>
              <w:rPr>
                <w:color w:val="000000"/>
              </w:rPr>
              <w:t>80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single"/>
                <w:effect w:val="none"/>
              </w:rPr>
              <w:t>Клоквинтосет-мексил</w:t>
            </w:r>
          </w:p>
          <w:p>
            <w:pPr>
              <w:pStyle w:val="Style15"/>
              <w:widowControl w:val="false"/>
              <w:rPr>
                <w:color w:val="000000"/>
              </w:rPr>
            </w:pPr>
            <w:r>
              <w:rPr>
                <w:color w:val="000000"/>
              </w:rPr>
              <w:t>12,5 г/л</w:t>
            </w:r>
          </w:p>
          <w:p>
            <w:pPr>
              <w:pStyle w:val="Style15"/>
              <w:widowControl w:val="false"/>
              <w:spacing w:before="60" w:after="75"/>
              <w:ind w:left="0" w:right="0" w:hanging="0"/>
              <w:rPr/>
            </w:pPr>
            <w:r>
              <w:rPr>
                <w:rStyle w:val="Style12"/>
                <w:b/>
                <w:strike w:val="false"/>
                <w:dstrike w:val="false"/>
                <w:color w:val="000000"/>
                <w:u w:val="none"/>
                <w:effect w:val="none"/>
              </w:rPr>
              <w:t>Пиноксаден</w:t>
            </w:r>
          </w:p>
          <w:p>
            <w:pPr>
              <w:pStyle w:val="Style15"/>
              <w:widowControl w:val="false"/>
              <w:spacing w:before="0" w:after="120"/>
              <w:rPr>
                <w:color w:val="000000"/>
              </w:rPr>
            </w:pPr>
            <w:r>
              <w:rPr>
                <w:color w:val="000000"/>
              </w:rPr>
              <w:t>50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color w:val="000000"/>
                <w:lang w:val="en-US"/>
              </w:rPr>
              <w:t>4</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Манкоцеб</w:t>
            </w:r>
          </w:p>
          <w:p>
            <w:pPr>
              <w:pStyle w:val="Style15"/>
              <w:widowControl w:val="false"/>
              <w:rPr>
                <w:color w:val="000000"/>
              </w:rPr>
            </w:pPr>
            <w:r>
              <w:rPr>
                <w:color w:val="000000"/>
              </w:rPr>
              <w:t>640 г/кг</w:t>
            </w:r>
          </w:p>
          <w:p>
            <w:pPr>
              <w:pStyle w:val="Style15"/>
              <w:widowControl w:val="false"/>
              <w:spacing w:before="60" w:after="75"/>
              <w:ind w:left="0" w:right="0" w:hanging="0"/>
              <w:rPr/>
            </w:pPr>
            <w:r>
              <w:rPr>
                <w:rStyle w:val="Style12"/>
                <w:b/>
                <w:strike w:val="false"/>
                <w:dstrike w:val="false"/>
                <w:color w:val="000000"/>
                <w:u w:val="none"/>
                <w:effect w:val="none"/>
              </w:rPr>
              <w:t>Мефеноксам</w:t>
            </w:r>
          </w:p>
          <w:p>
            <w:pPr>
              <w:pStyle w:val="Style15"/>
              <w:widowControl w:val="false"/>
              <w:spacing w:before="0" w:after="120"/>
              <w:rPr>
                <w:color w:val="000000"/>
              </w:rPr>
            </w:pPr>
            <w:r>
              <w:rPr>
                <w:color w:val="000000"/>
              </w:rPr>
              <w:t>40 г/кг</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sticidy.ru/active_substance/Cloquintoset_mexil_antidot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Application>LibreOffice/7.0.4.2$Windows_X86_64 LibreOffice_project/dcf040e67528d9187c66b2379df5ea4407429775</Application>
  <AppVersion>15.0000</AppVersion>
  <Pages>4</Pages>
  <Words>847</Words>
  <Characters>7868</Characters>
  <CharactersWithSpaces>8767</CharactersWithSpaces>
  <Paragraphs>65</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2021-07-12T14:18:20Z</cp:lastPrinted>
  <dcterms:modified xsi:type="dcterms:W3CDTF">2021-07-14T09:47:34Z</dcterms:modified>
  <cp:revision>76</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